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49B" w:rsidRDefault="0004249B" w:rsidP="0004249B">
      <w:pPr>
        <w:autoSpaceDE w:val="0"/>
        <w:autoSpaceDN w:val="0"/>
        <w:adjustRightInd w:val="0"/>
        <w:jc w:val="center"/>
        <w:outlineLvl w:val="0"/>
        <w:rPr>
          <w:rFonts w:cs="Times New Roman Полужирный"/>
          <w:b/>
          <w:bCs/>
          <w:szCs w:val="28"/>
        </w:rPr>
      </w:pPr>
      <w:r w:rsidRPr="00114F72">
        <w:rPr>
          <w:rFonts w:cs="Times New Roman Полужирный"/>
          <w:b/>
          <w:bCs/>
          <w:szCs w:val="28"/>
        </w:rPr>
        <w:t>Методика расчета распределения на 20</w:t>
      </w:r>
      <w:r>
        <w:rPr>
          <w:rFonts w:cs="Times New Roman Полужирный"/>
          <w:b/>
          <w:bCs/>
          <w:szCs w:val="28"/>
        </w:rPr>
        <w:t>2</w:t>
      </w:r>
      <w:r w:rsidRPr="00A867D2">
        <w:rPr>
          <w:rFonts w:cs="Times New Roman Полужирный"/>
          <w:b/>
          <w:bCs/>
          <w:szCs w:val="28"/>
        </w:rPr>
        <w:t>2</w:t>
      </w:r>
      <w:r w:rsidRPr="00114F72">
        <w:rPr>
          <w:rFonts w:cs="Times New Roman Полужирный"/>
          <w:b/>
          <w:bCs/>
          <w:szCs w:val="28"/>
        </w:rPr>
        <w:t xml:space="preserve"> год и на плановый период 20</w:t>
      </w:r>
      <w:r>
        <w:rPr>
          <w:rFonts w:cs="Times New Roman Полужирный"/>
          <w:b/>
          <w:bCs/>
          <w:szCs w:val="28"/>
        </w:rPr>
        <w:t>2</w:t>
      </w:r>
      <w:r w:rsidRPr="00790070">
        <w:rPr>
          <w:rFonts w:cs="Times New Roman Полужирный"/>
          <w:b/>
          <w:bCs/>
          <w:szCs w:val="28"/>
        </w:rPr>
        <w:t>2</w:t>
      </w:r>
      <w:r w:rsidRPr="00114F72">
        <w:rPr>
          <w:rFonts w:cs="Times New Roman Полужирный"/>
          <w:b/>
          <w:bCs/>
          <w:szCs w:val="28"/>
        </w:rPr>
        <w:t xml:space="preserve"> и 202</w:t>
      </w:r>
      <w:r w:rsidRPr="00790070">
        <w:rPr>
          <w:rFonts w:cs="Times New Roman Полужирный"/>
          <w:b/>
          <w:bCs/>
          <w:szCs w:val="28"/>
        </w:rPr>
        <w:t>3</w:t>
      </w:r>
      <w:r w:rsidRPr="00114F72">
        <w:rPr>
          <w:rFonts w:cs="Times New Roman Полужирный"/>
          <w:b/>
          <w:bCs/>
          <w:szCs w:val="28"/>
        </w:rPr>
        <w:t xml:space="preserve">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04249B" w:rsidRPr="00114F72" w:rsidRDefault="0004249B" w:rsidP="0004249B">
      <w:pPr>
        <w:autoSpaceDE w:val="0"/>
        <w:autoSpaceDN w:val="0"/>
        <w:adjustRightInd w:val="0"/>
        <w:jc w:val="center"/>
        <w:outlineLvl w:val="0"/>
        <w:rPr>
          <w:rFonts w:cs="Times New Roman Полужирный"/>
          <w:b/>
          <w:bCs/>
          <w:szCs w:val="28"/>
        </w:rPr>
      </w:pPr>
    </w:p>
    <w:p w:rsidR="0004249B" w:rsidRDefault="0004249B" w:rsidP="0004249B">
      <w:pPr>
        <w:autoSpaceDE w:val="0"/>
        <w:autoSpaceDN w:val="0"/>
        <w:adjustRightInd w:val="0"/>
        <w:ind w:firstLine="709"/>
        <w:jc w:val="both"/>
        <w:outlineLvl w:val="0"/>
        <w:rPr>
          <w:rFonts w:cs="Times New Roman Полужирный"/>
          <w:bCs/>
          <w:szCs w:val="28"/>
        </w:rPr>
      </w:pPr>
      <w:r>
        <w:rPr>
          <w:rFonts w:cs="Times New Roman Полужирный"/>
          <w:bCs/>
          <w:szCs w:val="28"/>
        </w:rPr>
        <w:t xml:space="preserve">(статья 5 </w:t>
      </w:r>
      <w:r w:rsidRPr="00114F72">
        <w:rPr>
          <w:rFonts w:cs="Times New Roman Полужирный"/>
          <w:bCs/>
          <w:szCs w:val="28"/>
        </w:rPr>
        <w:t>Закон</w:t>
      </w:r>
      <w:r>
        <w:rPr>
          <w:rFonts w:cs="Times New Roman Полужирный"/>
          <w:bCs/>
          <w:szCs w:val="28"/>
        </w:rPr>
        <w:t>а</w:t>
      </w:r>
      <w:r w:rsidRPr="00114F72">
        <w:rPr>
          <w:rFonts w:cs="Times New Roman Полужирный"/>
          <w:bCs/>
          <w:szCs w:val="28"/>
        </w:rPr>
        <w:t xml:space="preserve"> Саратовской области от 04.05.2009 </w:t>
      </w:r>
      <w:r>
        <w:rPr>
          <w:rFonts w:cs="Times New Roman Полужирный"/>
          <w:bCs/>
          <w:szCs w:val="28"/>
        </w:rPr>
        <w:t>№</w:t>
      </w:r>
      <w:r w:rsidRPr="00114F72">
        <w:rPr>
          <w:rFonts w:cs="Times New Roman Полужирный"/>
          <w:bCs/>
          <w:szCs w:val="28"/>
        </w:rPr>
        <w:t xml:space="preserve"> 41-ЗСО</w:t>
      </w:r>
      <w:r>
        <w:rPr>
          <w:rFonts w:cs="Times New Roman Полужирный"/>
          <w:bCs/>
          <w:szCs w:val="28"/>
        </w:rPr>
        <w:t>)</w:t>
      </w:r>
    </w:p>
    <w:p w:rsidR="0004249B" w:rsidRDefault="0004249B" w:rsidP="0004249B">
      <w:pPr>
        <w:autoSpaceDE w:val="0"/>
        <w:autoSpaceDN w:val="0"/>
        <w:adjustRightInd w:val="0"/>
        <w:ind w:firstLine="709"/>
        <w:jc w:val="both"/>
        <w:outlineLvl w:val="0"/>
        <w:rPr>
          <w:rFonts w:cs="Times New Roman Полужирный"/>
          <w:bCs/>
          <w:szCs w:val="28"/>
        </w:rPr>
      </w:pPr>
    </w:p>
    <w:p w:rsidR="0004249B" w:rsidRPr="003404EE" w:rsidRDefault="0004249B" w:rsidP="0004249B">
      <w:pPr>
        <w:autoSpaceDE w:val="0"/>
        <w:autoSpaceDN w:val="0"/>
        <w:adjustRightInd w:val="0"/>
        <w:ind w:firstLine="540"/>
        <w:jc w:val="both"/>
        <w:rPr>
          <w:szCs w:val="28"/>
        </w:rPr>
      </w:pPr>
      <w:r w:rsidRPr="003404EE">
        <w:rPr>
          <w:szCs w:val="28"/>
        </w:rPr>
        <w:t xml:space="preserve">1. Общий объем субвенции из областного бюджета, предоставляемой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органы местного самоуправления которых наделены государственными полномочиями, указанных в </w:t>
      </w:r>
      <w:hyperlink r:id="rId7" w:history="1">
        <w:r w:rsidRPr="003404EE">
          <w:rPr>
            <w:szCs w:val="28"/>
          </w:rPr>
          <w:t>статье 2</w:t>
        </w:r>
      </w:hyperlink>
      <w:r w:rsidRPr="003404EE">
        <w:rPr>
          <w:szCs w:val="28"/>
        </w:rPr>
        <w:t xml:space="preserve"> настоящего Закона.</w:t>
      </w:r>
    </w:p>
    <w:p w:rsidR="0004249B" w:rsidRDefault="0004249B" w:rsidP="0004249B">
      <w:pPr>
        <w:autoSpaceDE w:val="0"/>
        <w:autoSpaceDN w:val="0"/>
        <w:adjustRightInd w:val="0"/>
        <w:ind w:firstLine="540"/>
        <w:jc w:val="both"/>
        <w:rPr>
          <w:szCs w:val="28"/>
        </w:rPr>
      </w:pPr>
      <w:r w:rsidRPr="003404EE">
        <w:rPr>
          <w:szCs w:val="28"/>
        </w:rPr>
        <w:t xml:space="preserve">2. Объем субвенции </w:t>
      </w:r>
      <w:r>
        <w:rPr>
          <w:szCs w:val="28"/>
        </w:rPr>
        <w:t>бюджету муниципального образования области рассчитывается как сумма норматива годового фонда оплаты труда с учетом начислений на оплату труда штатных работников административной комиссии (далее - условные штатные единицы) и норматива годового объема расходов на обеспечение деятельности условных штатных единиц.</w:t>
      </w:r>
    </w:p>
    <w:p w:rsidR="0004249B" w:rsidRDefault="0004249B" w:rsidP="0004249B">
      <w:pPr>
        <w:autoSpaceDE w:val="0"/>
        <w:autoSpaceDN w:val="0"/>
        <w:adjustRightInd w:val="0"/>
        <w:ind w:firstLine="540"/>
        <w:jc w:val="both"/>
        <w:rPr>
          <w:szCs w:val="28"/>
        </w:rPr>
      </w:pPr>
      <w:r>
        <w:rPr>
          <w:szCs w:val="28"/>
        </w:rPr>
        <w:t>3. Норматив годового фонда оплаты труда с учетом начислений на оплату труда условных штатных единиц (далее - ФОТгод.) рассчитывается по следующей формуле:</w:t>
      </w:r>
    </w:p>
    <w:p w:rsidR="0004249B" w:rsidRDefault="0004249B" w:rsidP="0004249B">
      <w:pPr>
        <w:autoSpaceDE w:val="0"/>
        <w:autoSpaceDN w:val="0"/>
        <w:adjustRightInd w:val="0"/>
        <w:ind w:firstLine="540"/>
        <w:jc w:val="both"/>
        <w:rPr>
          <w:szCs w:val="28"/>
        </w:rPr>
      </w:pPr>
      <w:r>
        <w:rPr>
          <w:szCs w:val="28"/>
        </w:rPr>
        <w:t>ФОТгод. = МРОТ x К x N x 1,302 x 12, где</w:t>
      </w:r>
    </w:p>
    <w:p w:rsidR="0004249B" w:rsidRDefault="0004249B" w:rsidP="0004249B">
      <w:pPr>
        <w:autoSpaceDE w:val="0"/>
        <w:autoSpaceDN w:val="0"/>
        <w:adjustRightInd w:val="0"/>
        <w:ind w:firstLine="540"/>
        <w:jc w:val="both"/>
        <w:rPr>
          <w:szCs w:val="28"/>
        </w:rPr>
      </w:pPr>
      <w:r>
        <w:rPr>
          <w:szCs w:val="28"/>
        </w:rPr>
        <w:t>МРОТ - минимальный размер оплаты труда, установленный федеральным законом на соответствующий финансовый год;</w:t>
      </w:r>
    </w:p>
    <w:p w:rsidR="0004249B" w:rsidRDefault="0004249B" w:rsidP="0004249B">
      <w:pPr>
        <w:autoSpaceDE w:val="0"/>
        <w:autoSpaceDN w:val="0"/>
        <w:adjustRightInd w:val="0"/>
        <w:ind w:firstLine="540"/>
        <w:jc w:val="both"/>
        <w:rPr>
          <w:szCs w:val="28"/>
        </w:rPr>
      </w:pPr>
      <w:r>
        <w:rPr>
          <w:szCs w:val="28"/>
        </w:rPr>
        <w:t>К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 органы местного самоуправления которого наделены государственными полномочиями, на 1 января года, предшествующего планируемому периоду:</w:t>
      </w:r>
    </w:p>
    <w:p w:rsidR="0004249B" w:rsidRDefault="0004249B" w:rsidP="0004249B">
      <w:pPr>
        <w:autoSpaceDE w:val="0"/>
        <w:autoSpaceDN w:val="0"/>
        <w:adjustRightInd w:val="0"/>
        <w:ind w:firstLine="540"/>
        <w:jc w:val="both"/>
        <w:rPr>
          <w:szCs w:val="28"/>
        </w:rPr>
      </w:pPr>
      <w:r>
        <w:rPr>
          <w:szCs w:val="28"/>
        </w:rPr>
        <w:t>до 50 тысяч человек включительно - 1,35;</w:t>
      </w:r>
    </w:p>
    <w:p w:rsidR="0004249B" w:rsidRDefault="0004249B" w:rsidP="0004249B">
      <w:pPr>
        <w:autoSpaceDE w:val="0"/>
        <w:autoSpaceDN w:val="0"/>
        <w:adjustRightInd w:val="0"/>
        <w:ind w:firstLine="540"/>
        <w:jc w:val="both"/>
        <w:rPr>
          <w:szCs w:val="28"/>
        </w:rPr>
      </w:pPr>
      <w:r>
        <w:rPr>
          <w:szCs w:val="28"/>
        </w:rPr>
        <w:t>свыше 50 до 80 тысяч человек включительно - 1,43;</w:t>
      </w:r>
    </w:p>
    <w:p w:rsidR="0004249B" w:rsidRDefault="0004249B" w:rsidP="0004249B">
      <w:pPr>
        <w:autoSpaceDE w:val="0"/>
        <w:autoSpaceDN w:val="0"/>
        <w:adjustRightInd w:val="0"/>
        <w:ind w:firstLine="540"/>
        <w:jc w:val="both"/>
        <w:rPr>
          <w:szCs w:val="28"/>
        </w:rPr>
      </w:pPr>
      <w:r>
        <w:rPr>
          <w:szCs w:val="28"/>
        </w:rPr>
        <w:t>свыше 80 до 150 тысяч человек включительно - 1,52;</w:t>
      </w:r>
    </w:p>
    <w:p w:rsidR="0004249B" w:rsidRDefault="0004249B" w:rsidP="0004249B">
      <w:pPr>
        <w:autoSpaceDE w:val="0"/>
        <w:autoSpaceDN w:val="0"/>
        <w:adjustRightInd w:val="0"/>
        <w:ind w:firstLine="540"/>
        <w:jc w:val="both"/>
        <w:rPr>
          <w:szCs w:val="28"/>
        </w:rPr>
      </w:pPr>
      <w:r>
        <w:rPr>
          <w:szCs w:val="28"/>
        </w:rPr>
        <w:t>свыше 150 тысяч человек - 1,61;</w:t>
      </w:r>
    </w:p>
    <w:p w:rsidR="0004249B" w:rsidRDefault="0004249B" w:rsidP="0004249B">
      <w:pPr>
        <w:autoSpaceDE w:val="0"/>
        <w:autoSpaceDN w:val="0"/>
        <w:adjustRightInd w:val="0"/>
        <w:ind w:firstLine="540"/>
        <w:jc w:val="both"/>
        <w:rPr>
          <w:szCs w:val="28"/>
        </w:rPr>
      </w:pPr>
      <w:r>
        <w:rPr>
          <w:szCs w:val="28"/>
        </w:rPr>
        <w:t>N - количество условных штатных единиц, определяемое в зависимости от численности населения на территории муниципального образования области:</w:t>
      </w:r>
    </w:p>
    <w:p w:rsidR="0004249B" w:rsidRDefault="0004249B" w:rsidP="0004249B">
      <w:pPr>
        <w:autoSpaceDE w:val="0"/>
        <w:autoSpaceDN w:val="0"/>
        <w:adjustRightInd w:val="0"/>
        <w:ind w:firstLine="540"/>
        <w:jc w:val="both"/>
        <w:rPr>
          <w:szCs w:val="28"/>
        </w:rPr>
      </w:pPr>
      <w:r>
        <w:rPr>
          <w:szCs w:val="28"/>
        </w:rPr>
        <w:t>свыше 500 тысяч человек - шесть единиц;</w:t>
      </w:r>
    </w:p>
    <w:p w:rsidR="0004249B" w:rsidRDefault="0004249B" w:rsidP="0004249B">
      <w:pPr>
        <w:autoSpaceDE w:val="0"/>
        <w:autoSpaceDN w:val="0"/>
        <w:adjustRightInd w:val="0"/>
        <w:ind w:firstLine="540"/>
        <w:jc w:val="both"/>
        <w:rPr>
          <w:szCs w:val="28"/>
        </w:rPr>
      </w:pPr>
      <w:r>
        <w:rPr>
          <w:szCs w:val="28"/>
        </w:rPr>
        <w:t>свыше 150 до 500 тысяч человек включительно - три единицы;</w:t>
      </w:r>
    </w:p>
    <w:p w:rsidR="0004249B" w:rsidRDefault="0004249B" w:rsidP="0004249B">
      <w:pPr>
        <w:autoSpaceDE w:val="0"/>
        <w:autoSpaceDN w:val="0"/>
        <w:adjustRightInd w:val="0"/>
        <w:ind w:firstLine="540"/>
        <w:jc w:val="both"/>
        <w:rPr>
          <w:szCs w:val="28"/>
        </w:rPr>
      </w:pPr>
      <w:r>
        <w:rPr>
          <w:szCs w:val="28"/>
        </w:rPr>
        <w:t>свыше 80 до 150 тысяч человек включительно - две единицы;</w:t>
      </w:r>
    </w:p>
    <w:p w:rsidR="0004249B" w:rsidRDefault="0004249B" w:rsidP="0004249B">
      <w:pPr>
        <w:autoSpaceDE w:val="0"/>
        <w:autoSpaceDN w:val="0"/>
        <w:adjustRightInd w:val="0"/>
        <w:ind w:firstLine="540"/>
        <w:jc w:val="both"/>
        <w:rPr>
          <w:szCs w:val="28"/>
        </w:rPr>
      </w:pPr>
      <w:r>
        <w:rPr>
          <w:szCs w:val="28"/>
        </w:rPr>
        <w:t>до 80 тысяч человек включительно - одна единица;</w:t>
      </w:r>
    </w:p>
    <w:p w:rsidR="0004249B" w:rsidRDefault="0004249B" w:rsidP="0004249B">
      <w:pPr>
        <w:autoSpaceDE w:val="0"/>
        <w:autoSpaceDN w:val="0"/>
        <w:adjustRightInd w:val="0"/>
        <w:ind w:firstLine="540"/>
        <w:jc w:val="both"/>
        <w:rPr>
          <w:szCs w:val="28"/>
        </w:rPr>
      </w:pPr>
      <w:r>
        <w:rPr>
          <w:szCs w:val="28"/>
        </w:rPr>
        <w:t xml:space="preserve">1,302 - коэффициент расчета размера оплаты труда с учетом начислений на выплаты по оплате труда (уплата страховых взносов на обязательное </w:t>
      </w:r>
      <w:r>
        <w:rPr>
          <w:szCs w:val="28"/>
        </w:rPr>
        <w:lastRenderedPageBreak/>
        <w:t>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04249B" w:rsidRDefault="0004249B" w:rsidP="0004249B">
      <w:pPr>
        <w:autoSpaceDE w:val="0"/>
        <w:autoSpaceDN w:val="0"/>
        <w:adjustRightInd w:val="0"/>
        <w:ind w:firstLine="540"/>
        <w:jc w:val="both"/>
        <w:rPr>
          <w:szCs w:val="28"/>
        </w:rPr>
      </w:pPr>
      <w:r>
        <w:rPr>
          <w:szCs w:val="28"/>
        </w:rPr>
        <w:t>12 - число месяцев в году.</w:t>
      </w:r>
    </w:p>
    <w:p w:rsidR="0004249B" w:rsidRDefault="0004249B" w:rsidP="0004249B">
      <w:pPr>
        <w:autoSpaceDE w:val="0"/>
        <w:autoSpaceDN w:val="0"/>
        <w:adjustRightInd w:val="0"/>
        <w:ind w:firstLine="540"/>
        <w:jc w:val="both"/>
        <w:rPr>
          <w:szCs w:val="28"/>
        </w:rPr>
      </w:pPr>
      <w:r>
        <w:rPr>
          <w:szCs w:val="28"/>
        </w:rPr>
        <w:t>4.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 Расходы на обеспечение деятельности условных штатных единиц включают в себя расходы на обеспечение рабочего места штатного сотрудника административной комиссии (приобретение мебели, канцелярских товаров, оргтехники, программного обеспечения), оплату услуг связи, командировочные расходы, а также другие расходы, непосредственно связанные с осуществлением переданных государственных полномочий.</w:t>
      </w:r>
    </w:p>
    <w:p w:rsidR="0004249B" w:rsidRDefault="0004249B" w:rsidP="0004249B"/>
    <w:p w:rsidR="00001C6F" w:rsidRPr="0004249B" w:rsidRDefault="00001C6F" w:rsidP="0004249B">
      <w:bookmarkStart w:id="0" w:name="_GoBack"/>
      <w:bookmarkEnd w:id="0"/>
    </w:p>
    <w:sectPr w:rsidR="00001C6F" w:rsidRPr="0004249B" w:rsidSect="00944F5F">
      <w:headerReference w:type="even" r:id="rId8"/>
      <w:headerReference w:type="default" r:id="rId9"/>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986" w:rsidRDefault="006E5440">
      <w:r>
        <w:separator/>
      </w:r>
    </w:p>
  </w:endnote>
  <w:endnote w:type="continuationSeparator" w:id="0">
    <w:p w:rsidR="00A45986" w:rsidRDefault="006E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986" w:rsidRDefault="006E5440">
      <w:r>
        <w:separator/>
      </w:r>
    </w:p>
  </w:footnote>
  <w:footnote w:type="continuationSeparator" w:id="0">
    <w:p w:rsidR="00A45986" w:rsidRDefault="006E5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564A6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04249B">
    <w:pPr>
      <w:pStyle w:val="a3"/>
    </w:pPr>
  </w:p>
  <w:p w:rsidR="00DE5572" w:rsidRDefault="0004249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564A68">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04249B">
      <w:rPr>
        <w:rStyle w:val="a5"/>
        <w:noProof/>
        <w:sz w:val="24"/>
        <w:szCs w:val="24"/>
      </w:rPr>
      <w:t>2</w:t>
    </w:r>
    <w:r w:rsidRPr="00820980">
      <w:rPr>
        <w:rStyle w:val="a5"/>
        <w:sz w:val="24"/>
        <w:szCs w:val="24"/>
      </w:rPr>
      <w:fldChar w:fldCharType="end"/>
    </w:r>
  </w:p>
  <w:p w:rsidR="00DE5572" w:rsidRDefault="0004249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4E7"/>
    <w:rsid w:val="00001C6F"/>
    <w:rsid w:val="0004249B"/>
    <w:rsid w:val="001D70F7"/>
    <w:rsid w:val="00564A68"/>
    <w:rsid w:val="006E5440"/>
    <w:rsid w:val="008654E7"/>
    <w:rsid w:val="00A459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4E7"/>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64A68"/>
    <w:pPr>
      <w:tabs>
        <w:tab w:val="center" w:pos="4677"/>
        <w:tab w:val="right" w:pos="9355"/>
      </w:tabs>
    </w:pPr>
  </w:style>
  <w:style w:type="character" w:customStyle="1" w:styleId="a4">
    <w:name w:val="Верхний колонтитул Знак"/>
    <w:basedOn w:val="a0"/>
    <w:link w:val="a3"/>
    <w:uiPriority w:val="99"/>
    <w:rsid w:val="00564A68"/>
    <w:rPr>
      <w:rFonts w:ascii="Times New Roman" w:eastAsia="Times New Roman" w:hAnsi="Times New Roman" w:cs="Times New Roman"/>
      <w:sz w:val="28"/>
      <w:szCs w:val="26"/>
      <w:lang w:eastAsia="ru-RU"/>
    </w:rPr>
  </w:style>
  <w:style w:type="character" w:styleId="a5">
    <w:name w:val="page number"/>
    <w:basedOn w:val="a0"/>
    <w:rsid w:val="00564A68"/>
  </w:style>
  <w:style w:type="paragraph" w:customStyle="1" w:styleId="ConsPlusNormal">
    <w:name w:val="ConsPlusNormal"/>
    <w:rsid w:val="00564A68"/>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4E7"/>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64A68"/>
    <w:pPr>
      <w:tabs>
        <w:tab w:val="center" w:pos="4677"/>
        <w:tab w:val="right" w:pos="9355"/>
      </w:tabs>
    </w:pPr>
  </w:style>
  <w:style w:type="character" w:customStyle="1" w:styleId="a4">
    <w:name w:val="Верхний колонтитул Знак"/>
    <w:basedOn w:val="a0"/>
    <w:link w:val="a3"/>
    <w:uiPriority w:val="99"/>
    <w:rsid w:val="00564A68"/>
    <w:rPr>
      <w:rFonts w:ascii="Times New Roman" w:eastAsia="Times New Roman" w:hAnsi="Times New Roman" w:cs="Times New Roman"/>
      <w:sz w:val="28"/>
      <w:szCs w:val="26"/>
      <w:lang w:eastAsia="ru-RU"/>
    </w:rPr>
  </w:style>
  <w:style w:type="character" w:styleId="a5">
    <w:name w:val="page number"/>
    <w:basedOn w:val="a0"/>
    <w:rsid w:val="00564A68"/>
  </w:style>
  <w:style w:type="paragraph" w:customStyle="1" w:styleId="ConsPlusNormal">
    <w:name w:val="ConsPlusNormal"/>
    <w:rsid w:val="00564A68"/>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88C3E7E2194CD266FA472D13573704D999D9F0659DAECB7A01BA7E7469B2EAFE1A9D08FD61A1DFB229910794262200803B4259449B64C7BFB89B581F6Aj7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2998</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2</cp:revision>
  <dcterms:created xsi:type="dcterms:W3CDTF">2021-10-11T11:45:00Z</dcterms:created>
  <dcterms:modified xsi:type="dcterms:W3CDTF">2021-10-11T11:45:00Z</dcterms:modified>
</cp:coreProperties>
</file>